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IBM Plex Sans Condensed" w:hAnsi="IBM Plex Sans Condensed" w:cs="IBM Plex Sans Condensed"/>
          <w:b/>
          <w:i w:val="0"/>
          <w:color w:val="4A4138"/>
          <w:sz w:val="16"/>
        </w:rPr>
        <w:t>PILLAR 3 · INVITATION &amp; PATIENCE</w:t>
      </w:r>
    </w:p>
    <w:p>
      <w:pPr>
        <w:pBdr>
          <w:bottom w:val="single" w:sz="4" w:space="1" w:color="C9BFA8"/>
        </w:pBdr>
        <w:spacing w:after="80"/>
      </w:pPr>
      <w:r>
        <w:rPr>
          <w:rFonts w:ascii="EB Garamond" w:hAnsi="EB Garamond" w:cs="EB Garamond"/>
          <w:b w:val="0"/>
          <w:i w:val="0"/>
          <w:color w:val="6B2737"/>
          <w:sz w:val="34"/>
        </w:rPr>
        <w:t>[Parish name]</w:t>
      </w:r>
    </w:p>
    <w:p>
      <w:pPr>
        <w:spacing w:before="120" w:after="40"/>
      </w:pPr>
      <w:r>
        <w:rPr>
          <w:rFonts w:ascii="EB Garamond" w:hAnsi="EB Garamond" w:cs="EB Garamond"/>
          <w:b w:val="0"/>
          <w:i w:val="0"/>
          <w:color w:val="1F1A14"/>
          <w:sz w:val="44"/>
        </w:rPr>
        <w:t>What Already Works: An Audit Before Change</w:t>
      </w:r>
    </w:p>
    <w:p>
      <w:pPr>
        <w:pBdr>
          <w:bottom w:val="single" w:sz="12" w:space="1" w:color="6B2737"/>
        </w:pBdr>
        <w:spacing w:after="120"/>
      </w:pPr>
      <w:r>
        <w:rPr>
          <w:rFonts w:ascii="EB Garamond" w:hAnsi="EB Garamond" w:cs="EB Garamond"/>
          <w:b w:val="0"/>
          <w:i w:val="0"/>
          <w:color w:val="1F1A14"/>
          <w:sz w:val="4"/>
        </w:rPr>
        <w:t xml:space="preserve"> 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The honouring-before-proposing exercise. A structured worksheet that forces the discipline of understanding what is currently good, and naming it specifically, before any change is proposed.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Conducted by the priest, PPC chair, or agency. Used before a change proposal is drafted. Often the work takes two to four weeks, because it requires real conversations rather than desk analysis.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THE WORKSHEET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[To be rendered as a five-page PDF, A4, designed for extended use across multiple conversations. DOCX version for digital completion. Clear sections that can be worked on non-linearly.]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PAGE 1: INTRODUCTION AND POSTURE</w:t>
      </w: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WHAT ALREADY WORKS: AN AUDIT BEFORE CHANGE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Parish of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[parish name]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Area being considered for change: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Auditor: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Dates of audit: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From _______________ to _______________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What this audit is for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This audit is done before a change is proposed. Its purpose is not to build a case for the change. Its purpose is to understand, honestly, what is currently happening in the area being considered, and what is currently working.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Many audits conducted in this posture conclude that the proposed change is not needed, or needs to be much smaller than originally thought. That is a success outcome. The audit has done its job.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If you skip this audit and move directly to proposing a change, you will almost certainly propose badly. The change will feel top-down, will fail to honour the people currently doing the work, and will meet resistance that the proposal will not be able to answer.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Take the time.</w:t>
      </w: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The posture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You approach these conversations as a student, not a consultant.</w:t>
      </w:r>
    </w:p>
    <w:p>
      <w:pPr>
        <w:spacing w:after="40"/>
        <w:ind w:left="454" w:hanging="227"/>
      </w:pPr>
      <w:r>
        <w:rPr>
          <w:rFonts w:ascii="EB Garamond" w:hAnsi="EB Garamond" w:cs="EB Garamond"/>
          <w:b w:val="0"/>
          <w:i w:val="0"/>
          <w:color w:val="6B2737"/>
          <w:sz w:val="22"/>
        </w:rPr>
        <w:t xml:space="preserve">•  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>You are not looking for pain points.</w:t>
      </w:r>
    </w:p>
    <w:p>
      <w:pPr>
        <w:spacing w:after="40"/>
        <w:ind w:left="454" w:hanging="227"/>
      </w:pPr>
      <w:r>
        <w:rPr>
          <w:rFonts w:ascii="EB Garamond" w:hAnsi="EB Garamond" w:cs="EB Garamond"/>
          <w:b w:val="0"/>
          <w:i w:val="0"/>
          <w:color w:val="6B2737"/>
          <w:sz w:val="22"/>
        </w:rPr>
        <w:t xml:space="preserve">•  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>You are not trying to elicit dissatisfaction.</w:t>
      </w:r>
    </w:p>
    <w:p>
      <w:pPr>
        <w:spacing w:after="40"/>
        <w:ind w:left="454" w:hanging="227"/>
      </w:pPr>
      <w:r>
        <w:rPr>
          <w:rFonts w:ascii="EB Garamond" w:hAnsi="EB Garamond" w:cs="EB Garamond"/>
          <w:b w:val="0"/>
          <w:i w:val="0"/>
          <w:color w:val="6B2737"/>
          <w:sz w:val="22"/>
        </w:rPr>
        <w:t xml:space="preserve">•  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>You are not building evidence for a case.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You are trying to learn. The questions you ask will shape what you hear. Questions framed as "what is not working?" produce a list of complaints. Questions framed as "tell me how this works" produce understanding.</w:t>
      </w: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How to use this worksheet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Page 2 contains the interview guide. You will use it multiple times, one full page per person interviewed.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Pages 3 and 4 support the reflection after the interviews are complete.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Page 5 produces the output that feeds into the Change Proposal template (T3).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Allow two to four weeks between starting the audit and completing Page 5. The work cannot be rushed. Interviews need space between them. Insight needs time to settle.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PAGE 2: THE INTERVIEW GUIDE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Use one full page per person interviewed. Photocopy or print additional pages as needed.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Interview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Person being interviewed: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Their role or function: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Length of time in this work: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Date of interview: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Opening the conversation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Before the questions, set the conversation up honestly.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Example opening: </w:t>
      </w:r>
      <w:r>
        <w:rPr>
          <w:rFonts w:ascii="EB Garamond" w:hAnsi="EB Garamond" w:cs="EB Garamond"/>
          <w:b w:val="0"/>
          <w:i/>
          <w:color w:val="1F1A14"/>
          <w:sz w:val="22"/>
        </w:rPr>
        <w:t>"Thank you for agreeing to talk. We are thinking about whether there might be a better way to do [area of parish life], and before I propose anything, I want to understand how it actually works now, and what is good about how you have been doing it. This is not an evaluation. I am trying to learn."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Let them respond. Their first words often reveal how they have understood being approached.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The questions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Use these as a starting point. Follow the conversation where it goes, and come back to any questions you have not asked by the end.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How long have you been doing this work? What did you inherit from whoever came before?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Walk me through a typical week. What do you do on Monday? On Tuesday? On Sunday after Mass?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(The texture of the actual work, not an abstract description. Listen for what they mention and what they do not.)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do you find yourself doing that is not in any job description?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(The invisible work. Often the most important.)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do you wish more people understood about this work?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works really well that you would not want to change? Be specific.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(This is the core question. If the interviewee cannot name specifics, prompt gently until she can.)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currently frustrates you? (Open, without leading.)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If you could change one thing, what would it be? (Their priority, not yours.)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Notes: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Who else should I talk to before I understand this properly?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Names and suggested topics: _______________________________________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After the interview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Close warmly. Thank her specifically. Do not promise anything at this stage; you are still learning. If she asks what happens next, say honestly: "I am talking with several people, and then I will draft something for the parish to consider. I would like to come back to you with the draft before it goes wider. Would that be all right?"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Most people will say yes. That follow-up is what turns the audit into an invitation to shape the proposal rather than a data-gathering exercise.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PAGE 3: CROSS-CONVERSATION OBSERVATIONS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After at least three or four interviews, you will start to see patterns. This page is for recording them while they are fresh.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Patterns across interviews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has come up repeatedly as working well?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has come up repeatedly as frustrating?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have multiple people pointed to that you did not expect?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have people specifically asked you to protect, if change happens?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Silences you noticed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Was there anything people seemed reluctant to talk about, or talked around?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Were there people who said less than you expected, or who declined to engage?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(Silences are data. They may indicate burnout, disagreement, distrust, or simply that the matter is not a priority for the person. Each possibility means something different.)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Surprises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did you learn that you had not expected to learn?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assumption did you hold going in that the interviews have changed?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PAGE 4: THE THREE-SPECIFICS REFLECTION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This page is central. After all interviews are done, and after you have noted the cross-conversation patterns on Page 3, name three specific things the current system does well. Not generic. Specific. Named. Attributable.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If you cannot fill in three specifics, the audit is not complete. Return to Page 2 and do another interview or two, asking the "what works really well" question more carefully.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Specific 1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the specific thing is: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Who is responsible for it working: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Why it matters pastorally or operationally: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How we would protect this if the proposed change happens: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Specific 2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the specific thing is: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Who is responsible for it working: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Why it matters pastorally or operationally: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How we would protect this if the proposed change happens: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Specific 3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What the specific thing is: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Who is responsible for it working: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Why it matters pastorally or operationally: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How we would protect this if the proposed change happens: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Note: if, having completed this page, you find yourself thinking that the proposed change is less urgent than you originally thought, that is not a problem. It is a gift. Adjust the proposal. Or set it aside for six months. Or abandon it entirely. The audit has served you.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120" w:after="20"/>
      </w:pPr>
      <w:r>
        <w:rPr>
          <w:rFonts w:ascii="IBM Plex Sans Condensed" w:hAnsi="IBM Plex Sans Condensed" w:cs="IBM Plex Sans Condensed"/>
          <w:b/>
          <w:i w:val="0"/>
          <w:color w:val="6B2737"/>
          <w:sz w:val="17"/>
        </w:rPr>
        <w:t>PAGE 5: THE CARRY-FORWARD PLAN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If, after completing this audit, a change is still being proposed, this page becomes the input to Section 4 of the Change Proposal Template (T3): "How this honours what already works."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What we will carry forward from the current system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Practices, tools, relationships, knowledge, or approaches that will be preserved as part of any change: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Who currently carrying this work will have a named role in whatever comes next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For each person named in your interviews as carrying significant work: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Name: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Current role: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Proposed role in the new approach: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Name: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Current role: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Proposed role in the new approach: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Name: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Current role: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 </w:t>
      </w:r>
      <w:r>
        <w:rPr>
          <w:rFonts w:ascii="EB Garamond" w:hAnsi="EB Garamond" w:cs="EB Garamond"/>
          <w:b/>
          <w:i w:val="0"/>
          <w:color w:val="1F1A14"/>
          <w:sz w:val="22"/>
        </w:rPr>
        <w:t>Proposed role in the new approach:</w:t>
      </w:r>
      <w:r>
        <w:rPr>
          <w:rFonts w:ascii="EB Garamond" w:hAnsi="EB Garamond" w:cs="EB Garamond"/>
          <w:b w:val="0"/>
          <w:i w:val="0"/>
          <w:color w:val="1F1A14"/>
          <w:sz w:val="22"/>
        </w:rPr>
        <w:t xml:space="preserve"> _______________________________________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What is at risk of being lost that we commit to protect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Things worth preserving that might quietly disappear if the change is handled carelessly: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What institutional knowledge needs to be documented before any change begins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Tacit knowledge held by specific people that, if lost, would be hard or impossible to recover. Who will document it? When?</w:t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8B7F6B"/>
        </w:pBdr>
        <w:spacing w:after="40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ab/>
        <w:tab/>
        <w:tab/>
        <w:tab/>
        <w:tab/>
        <w:tab/>
        <w:tab/>
      </w:r>
    </w:p>
    <w:p>
      <w:pPr>
        <w:pBdr>
          <w:bottom w:val="single" w:sz="4" w:space="1" w:color="C9BFA8"/>
        </w:pBdr>
        <w:spacing w:after="60" w:before="40"/>
      </w:pPr>
    </w:p>
    <w:p>
      <w:pPr>
        <w:spacing w:before="80" w:after="20"/>
      </w:pPr>
      <w:r>
        <w:rPr>
          <w:rFonts w:ascii="EB Garamond" w:hAnsi="EB Garamond" w:cs="EB Garamond"/>
          <w:b w:val="0"/>
          <w:i w:val="0"/>
          <w:color w:val="1F1A14"/>
          <w:sz w:val="25"/>
        </w:rPr>
        <w:t>Your commitment</w:t>
      </w:r>
    </w:p>
    <w:p>
      <w:pPr>
        <w:spacing w:after="80" w:line="324" w:lineRule="auto"/>
      </w:pPr>
      <w:r>
        <w:rPr>
          <w:rFonts w:ascii="EB Garamond" w:hAnsi="EB Garamond" w:cs="EB Garamond"/>
          <w:b/>
          <w:i w:val="0"/>
          <w:color w:val="1F1A14"/>
          <w:sz w:val="22"/>
        </w:rPr>
        <w:t>I have completed this audit honestly, and the proposal I now draft will honour what I have learned.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 w:val="0"/>
          <w:color w:val="1F1A14"/>
          <w:sz w:val="22"/>
        </w:rPr>
        <w:t>Signed: _______________________________________  Date: _______________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This audit feeds directly into the Change Proposal Template (T3). Bring the outputs of Pages 4 and 5 to that template when you are ready to draft the proposal.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If the audit has led you to conclude that the change is not needed, or not needed now, that is also a legitimate outcome. Document what you learned, share the conclusion with the priest, and consider whether to revisit in six months.</w:t>
      </w:r>
    </w:p>
    <w:p>
      <w:pPr>
        <w:pBdr>
          <w:bottom w:val="single" w:sz="4" w:space="1" w:color="C9BFA8"/>
        </w:pBdr>
        <w:spacing w:after="60" w:before="40"/>
      </w:pP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Based on the True Light Digital Formation framework. For the cornerstone essay on which this audit is based, see truelight.digital/formation/invitation-and-patience/.</w:t>
      </w:r>
    </w:p>
    <w:p>
      <w:pPr>
        <w:spacing w:after="80" w:line="324" w:lineRule="auto"/>
      </w:pPr>
      <w:r>
        <w:rPr>
          <w:rFonts w:ascii="EB Garamond" w:hAnsi="EB Garamond" w:cs="EB Garamond"/>
          <w:b w:val="0"/>
          <w:i/>
          <w:color w:val="1F1A14"/>
          <w:sz w:val="22"/>
        </w:rPr>
        <w:t>True Light Digital publishes this worksheet as part of its free Formation library. If your parish would value support in building a wider communications system, please contact us at sean@truelight.digital. If not, we hope this worksheet serves you well on its own. That is the goal.</w:t>
      </w:r>
    </w:p>
    <w:sectPr w:rsidR="00FC693F" w:rsidRPr="0006063C" w:rsidSect="00034616">
      <w:footerReference w:type="default" r:id="rId9"/>
      <w:pgSz w:w="11906" w:h="16838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IBM Plex Sans Condensed" w:hAnsi="IBM Plex Sans Condensed" w:cs="IBM Plex Sans Condensed"/>
        <w:b w:val="0"/>
        <w:i w:val="0"/>
        <w:color w:val="4A4138"/>
        <w:sz w:val="14"/>
      </w:rPr>
      <w:t>TRUE LIGHT DIGITAL  ·  FORMATION</w:t>
    </w:r>
    <w:r>
      <w:tab/>
    </w:r>
    <w:r>
      <w:rPr>
        <w:rFonts w:ascii="EB Garamond" w:hAnsi="EB Garamond" w:cs="EB Garamond"/>
        <w:b w:val="0"/>
        <w:i/>
        <w:color w:val="4A4138"/>
        <w:sz w:val="16"/>
      </w:rPr>
      <w:t>truelight.digital/formation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EB Garamond" w:hAnsi="EB 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